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Звіт</w:t>
      </w: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фінансово-господарської діяльності</w:t>
      </w:r>
      <w:r w:rsidRPr="00D2169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D2169B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>О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б’єднання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співвласників багатоквартирного будинку «Буча-Квартал»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за 20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25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рік</w:t>
      </w: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м. Буча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  <w:t xml:space="preserve">             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  <w:t>11.08.2026 року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   Звіт фінансово – господарської діяльності </w:t>
      </w:r>
      <w:r w:rsidRPr="00D2169B">
        <w:rPr>
          <w:rFonts w:ascii="Times New Roman" w:eastAsia="Times New Roman" w:hAnsi="Times New Roman" w:cs="Times New Roman"/>
          <w:sz w:val="26"/>
          <w:szCs w:val="26"/>
          <w:lang w:eastAsia="uk-UA"/>
        </w:rPr>
        <w:t>О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б’єднання співвласників багатоквартирного будинку «Буча-Квартал» (далі - ОСББ)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Голови правління ОСББ –  </w:t>
      </w:r>
      <w:proofErr w:type="spellStart"/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Ланского</w:t>
      </w:r>
      <w:proofErr w:type="spellEnd"/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Артема Юрійовича та бухгалтера ОСББ </w:t>
      </w:r>
      <w:r w:rsidRPr="00D2169B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uk-UA"/>
        </w:rPr>
        <w:t xml:space="preserve">– 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Захарченко </w:t>
      </w:r>
      <w:proofErr w:type="spellStart"/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Юліі</w:t>
      </w:r>
      <w:proofErr w:type="spellEnd"/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Василівни </w:t>
      </w:r>
      <w:r w:rsidRPr="00D2169B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uk-UA"/>
        </w:rPr>
        <w:t xml:space="preserve"> 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за 2025 рік.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         1.Об’єднання співвласників багатоквартирного будинку «Буча-Квартал» створено власниками квартир та нежитлових приміщень (далі – Співвласників) багатоквартирних будинків № 2, 2а, 4, 4а, 8, 8а, 10 та 10а  ( далі – Будинки ),  </w:t>
      </w:r>
      <w:r w:rsidRPr="00D2169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 xml:space="preserve">що  розташовані   за   </w:t>
      </w:r>
      <w:proofErr w:type="spellStart"/>
      <w:r w:rsidRPr="00D2169B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en-US"/>
        </w:rPr>
        <w:t>адресою</w:t>
      </w:r>
      <w:proofErr w:type="spellEnd"/>
      <w:r w:rsidRPr="00D2169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:  Київська  область,  м. Буча, вул. Бориса Гмирі, відповідно до Закону України «Про об’єднання співвласників багатоквартирного будинку» та рішення Установчих зборів Співвласників.  Об’єднання співвласників багатоквартирного будинку «Буча-Квартал» діє на підставі Статуту, затвердженого зборами</w:t>
      </w:r>
      <w:r w:rsidRPr="00D2169B">
        <w:rPr>
          <w:rFonts w:ascii="Times New Roman" w:eastAsia="Calibri" w:hAnsi="Times New Roman" w:cs="Times New Roman"/>
          <w:color w:val="000000"/>
          <w:sz w:val="26"/>
          <w:szCs w:val="26"/>
          <w:u w:val="single"/>
          <w:lang w:eastAsia="en-US"/>
        </w:rPr>
        <w:t xml:space="preserve"> </w:t>
      </w:r>
      <w:r w:rsidRPr="00D2169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Співвласників (Протокол №06 від 03.08.2024р.).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Код ЄДРПОУ: 38972151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Повне найменування юридичної особи та скорочене у разі його наявності: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Об’єднання співвласників багатоквартирного будинку «Буча-Квартал»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Місце знаходження юридичної особи: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08292, Київська обл., місто Буча, вул. Бориса Гмирі, будинок 2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Основними видам діяльності: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81.10 Комплексне обслуговування об’єктів;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Керівник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–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Ланской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Артем Юрійович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Бухгалтер –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Захарченко Юлія Василівна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3. Банківські реквізити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Для здійснення розрахункових та фінансових операцій Об’єднанням відкрито наступний реєстраційний рахунок: </w:t>
      </w:r>
    </w:p>
    <w:p w:rsidR="00D2169B" w:rsidRPr="00D2169B" w:rsidRDefault="00D2169B" w:rsidP="00D2169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Calibri" w:eastAsia="Calibri" w:hAnsi="Calibri" w:cs="Times New Roman"/>
          <w:sz w:val="26"/>
          <w:szCs w:val="26"/>
          <w:lang w:eastAsia="en-US"/>
        </w:rPr>
        <w:t xml:space="preserve">              </w:t>
      </w:r>
      <w:r w:rsidRPr="00D2169B">
        <w:rPr>
          <w:rFonts w:ascii="Times New Roman" w:eastAsia="Times New Roman" w:hAnsi="Times New Roman" w:cs="Times New Roman"/>
          <w:sz w:val="26"/>
          <w:szCs w:val="26"/>
        </w:rPr>
        <w:t xml:space="preserve">Р/р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UA713052990000026000010100700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ЄДРПОУ 38972151</w:t>
      </w:r>
    </w:p>
    <w:p w:rsidR="00D2169B" w:rsidRPr="00D2169B" w:rsidRDefault="00D2169B" w:rsidP="00D2169B">
      <w:pPr>
        <w:spacing w:after="0" w:line="240" w:lineRule="auto"/>
        <w:ind w:firstLine="85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МФО 321842 </w:t>
      </w:r>
    </w:p>
    <w:p w:rsidR="00D2169B" w:rsidRPr="00D2169B" w:rsidRDefault="00D2169B" w:rsidP="00D2169B">
      <w:pPr>
        <w:spacing w:after="0" w:line="240" w:lineRule="auto"/>
        <w:ind w:firstLine="85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АТ КБ «ПриватБанк»</w:t>
      </w:r>
    </w:p>
    <w:p w:rsidR="00D2169B" w:rsidRPr="00D2169B" w:rsidRDefault="00D2169B" w:rsidP="00D2169B">
      <w:pPr>
        <w:spacing w:after="0" w:line="240" w:lineRule="auto"/>
        <w:ind w:firstLine="851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Рахунок відкритий 22.04.2016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4. Об’єднання  співвласників  багатоквартирного будинку «Буча-Квартал» 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внесено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до Реєстру неприбуткових установ та організацій і відповідно до рішення Вишгородської об’єднаної Державної податкової інспекції головного управління ДФС України в Київській обл. (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Ірпінське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відділення м. Буча) від 12.01.2017 № 287/10-31 має ознаку неприбутковості 0043- об’єднання співвласників багатоквартирного будинку, асоціації власників житлових будинків, т</w:t>
      </w:r>
      <w:r w:rsidRPr="00D2169B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обто ОСББ є неприбутковою організацією і не має на меті одержання прибутку для його розподілу між Співвласниками. Господарче забезпечення діяльності Об’єднання може здійснюватися власними силами Об’єднання (шляхом самозабезпечення) або шляхом залучення на договірних засадах суб’єктів господарювання.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lastRenderedPageBreak/>
        <w:t xml:space="preserve">«Буча-Квартал»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відповідно до ст.133.4.7 Податкового Кодексу України від 02.12.2010 №2756-VI (із змінами і доповненнями) (далі –ПКУ) 01.03.2021р. подано звіт  про використання доходів (прибутків)  неприбуткової організації за 2025 рік.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                        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Господарська діяльність: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Згідно з затвердженим Протоколом №04 загальних зборів від 31.05.2021 року, шляхом голосування прийнято: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1.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нески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на утримання спільного майна Об’єднання. Вартість утримання становить за 1м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uk-UA"/>
        </w:rPr>
        <w:t>2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:</w:t>
      </w:r>
    </w:p>
    <w:p w:rsidR="00D2169B" w:rsidRPr="00D2169B" w:rsidRDefault="00D2169B" w:rsidP="00D2169B">
      <w:pPr>
        <w:tabs>
          <w:tab w:val="left" w:pos="990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- квартири та приміщення без ліфтів – 9,17 грн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ab/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- квартири з ліфтами – 9,72 грн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- комерційні  приміщення (сфера торгівлі, громадського харчування, послуг, офісів, тощо) – 11,17 грн  </w:t>
      </w:r>
    </w:p>
    <w:p w:rsidR="00D2169B" w:rsidRPr="00D2169B" w:rsidRDefault="00D2169B" w:rsidP="00D2169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Ведення касових операцій та розрахунки з підзвітними особами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За звітний 2025 рік ведення касових операцій через касу підприємства не здійснювались, так як розрахунки з ОСББ здійснюються виключно через банківські установи шляхом переведення коштів з рахунку співвласника на розрахунковий рахунок ОСББ.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           Розрахунки по авансовим звітам здійснювались корпоративною карткою (рахунок) з дотримання вимог  п.6 гл.2 Положення № 148 у частині граничної суми на оплату товарів для господарських потреб.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Згідно з  </w:t>
      </w:r>
      <w:proofErr w:type="spellStart"/>
      <w:r w:rsidR="00F04F33">
        <w:fldChar w:fldCharType="begin"/>
      </w:r>
      <w:r w:rsidR="00F04F33">
        <w:instrText xml:space="preserve"> HYPERLINK "http://docs.dtkt.ua/doc/1045.14005.2" \l "pn201" \t "_blank" </w:instrText>
      </w:r>
      <w:r w:rsidR="00F04F33">
        <w:fldChar w:fldCharType="separate"/>
      </w:r>
      <w:r w:rsidRPr="00D2169B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  <w:lang w:eastAsia="en-US"/>
        </w:rPr>
        <w:t>гл.VII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  <w:lang w:eastAsia="en-US"/>
        </w:rPr>
        <w:t xml:space="preserve"> Постанови НБУ №705</w:t>
      </w:r>
      <w:r w:rsidR="00F04F33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  <w:lang w:eastAsia="en-US"/>
        </w:rPr>
        <w:fldChar w:fldCharType="end"/>
      </w:r>
      <w:r w:rsidRPr="00D2169B">
        <w:rPr>
          <w:rFonts w:ascii="Calibri" w:eastAsia="Calibri" w:hAnsi="Calibri" w:cs="Times New Roman"/>
          <w:sz w:val="20"/>
          <w:szCs w:val="20"/>
          <w:lang w:eastAsia="en-US"/>
        </w:rPr>
        <w:t xml:space="preserve">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(із змінами), операції користувачів корпоративних карток мають виконуватися з оформленням квитанції платіжного термінала, чека банкомата, сліпа та інших документів </w:t>
      </w:r>
      <w:r w:rsidRPr="00D2169B">
        <w:rPr>
          <w:rFonts w:ascii="Times New Roman" w:eastAsia="Calibri" w:hAnsi="Times New Roman" w:cs="Times New Roman"/>
          <w:bCs/>
          <w:sz w:val="26"/>
          <w:szCs w:val="26"/>
          <w:bdr w:val="none" w:sz="0" w:space="0" w:color="auto" w:frame="1"/>
          <w:lang w:eastAsia="en-US"/>
        </w:rPr>
        <w:t xml:space="preserve">у паперовій формі. Бухгалтерський облік операцій здійснюється у національній валюті.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Облік витрат, понесених за допомогою корпоративної картки, здійснюється на підставі первинних документів, наданих її утримувачем — підзвітною особою. Разом із такими документами підзвітна особа надає авансовий звіт.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</w:rPr>
      </w:pPr>
      <w:r w:rsidRPr="00D2169B"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</w:rPr>
        <w:t>Чинну форму Звіту про використання коштів, виданих на відрядження або під звіт, і порядок його заповнення затверджено наказом Міністерства фінансів України  від 28.09.2015 р. №841 (із змінами).</w:t>
      </w: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</w:p>
    <w:p w:rsidR="00D2169B" w:rsidRPr="00D2169B" w:rsidRDefault="00D2169B" w:rsidP="00D2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Фінансова діяльність:</w:t>
      </w:r>
    </w:p>
    <w:p w:rsidR="00D2169B" w:rsidRPr="00D2169B" w:rsidRDefault="00D2169B" w:rsidP="00D2169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            В «Буча-Квартал» відкрито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22.04.2016 року у ПАТ КБ «ПриватБанк»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розрахунковий  банківський рахунок </w:t>
      </w:r>
      <w:r w:rsidRPr="00D216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Р/р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UA713052990000026000010100700. Рахунок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використовується для оплати внесків та платежів співвласниками, розрахунків з постачальниками послуг, 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фіскальної служби, нарахування заробітної плати, відпускних, підзвітних сум, тощо. Станом на 01.01.2025 залишок  коштів на рахунках складає – 4344 грн. 28 коп. в т. ч. рахунок Південний Акціонерний банк -330 грн. 00 коп., рахунок ПРИВАТБАНК – 4014 грн. 28 коп.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Загалом на рахунок ОСББ «Буча-Квартал» за 2025 рік  надійшло внесків та платежів 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ru-RU" w:eastAsia="uk-UA"/>
        </w:rPr>
        <w:t>4567110,78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грн (Додаток №1 додається)., з них:</w:t>
      </w:r>
    </w:p>
    <w:p w:rsidR="00D2169B" w:rsidRPr="00D2169B" w:rsidRDefault="00D2169B" w:rsidP="00D21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       </w:t>
      </w:r>
    </w:p>
    <w:p w:rsidR="00D2169B" w:rsidRPr="00D2169B" w:rsidRDefault="00D2169B" w:rsidP="00D21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 1.Утримання майна спільного користування – 3811688 грн. 75 коп.</w:t>
      </w:r>
    </w:p>
    <w:p w:rsidR="00D2169B" w:rsidRPr="00D2169B" w:rsidRDefault="00D2169B" w:rsidP="00D21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lastRenderedPageBreak/>
        <w:t xml:space="preserve"> 2. Додатковий дохід ( реклама, користування сервітуту Нова Пошта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,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Епіцентр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тощо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) -152400 грн.00 коп.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;</w:t>
      </w:r>
    </w:p>
    <w:p w:rsidR="00D2169B" w:rsidRPr="00D2169B" w:rsidRDefault="00D2169B" w:rsidP="00D21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 3.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Добровільні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внески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на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розвиток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ОСББ – 10807 грн. 00 коп.</w:t>
      </w:r>
    </w:p>
    <w:p w:rsidR="00D2169B" w:rsidRPr="00D2169B" w:rsidRDefault="00D2169B" w:rsidP="00D2169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 4.Оренда – 119070 грн.05 коп.;</w:t>
      </w:r>
    </w:p>
    <w:p w:rsidR="00D2169B" w:rsidRPr="00D2169B" w:rsidRDefault="00D2169B" w:rsidP="00D2169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5. Відшкодування витрат на утримання каналізаційної та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лівневої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насосних станцій (КНС та ЛНС), покупку насосу та ін.. - 473144 грн. 98 коп.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       В 2025 році на утримання ОСББ </w:t>
      </w:r>
      <w:r w:rsidRPr="00D2169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 xml:space="preserve">«Буча-Квартал» витрачено 4562610 грн. 78 коп.(Додаток №2 додається).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Витрати на утримання комплексу та потреб адміністративних витрат для належного функціонування ОСББ «Буча-Квартал» за 2025 рік: </w:t>
      </w:r>
    </w:p>
    <w:p w:rsidR="00D2169B" w:rsidRPr="00D2169B" w:rsidRDefault="00D2169B" w:rsidP="00D2169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- Витрати на заробітну плату – 560389 грн.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67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коп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- Нарахування на заробітну плату – 123285 грн. 70 коп.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- Вивезення відходів - 391306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-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Прибирання прибудинкової території та місць загального користування витрати - 738000 грн.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- Адміністративні витрати та потреби ОСББ – 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110334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грн. 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13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-Зимове утримання (механічне та ручне очищення)- 4400 грн.00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-Освітлення місць загального користування – 893540 грн.16 коп.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-Утримання зелених насаджень -108422 грн.17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Послуги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з тех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нічного та аварійного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обслуговування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будинкових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систем, прочистка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каналізаційних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труб, -296400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Обслуговування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системи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відеоспостереження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-10059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-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Обслуговування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шлагбаумів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– 21500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-Н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 утримання ліфтів (технічне </w:t>
      </w:r>
      <w:proofErr w:type="gram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обслуговування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, 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ремонт</w:t>
      </w:r>
      <w:proofErr w:type="gram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,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тощо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)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– 57908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- Витрати на обслуговування  авто поливу та ремонт обладнання свердловини – 20250 грн.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- Ремонтні роботи на даху будинків, вхідної групи в під’їздах, КНС, дитячого майданчика – 149290 грн 00 коп.</w:t>
      </w:r>
    </w:p>
    <w:p w:rsidR="00D2169B" w:rsidRPr="00D2169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2169B" w:rsidRPr="002B6CBB" w:rsidRDefault="00D2169B" w:rsidP="00D2169B">
      <w:pPr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highlight w:val="yellow"/>
          <w:lang w:eastAsia="en-US"/>
        </w:rPr>
      </w:pPr>
      <w:r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Витрати резервного фонду за 2025 рік склали </w:t>
      </w:r>
      <w:r w:rsidR="002B6CBB"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>340 347</w:t>
      </w:r>
      <w:r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грн. </w:t>
      </w:r>
      <w:r w:rsidR="002B6CBB"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>20</w:t>
      </w:r>
      <w:r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коп. на купівлю </w:t>
      </w:r>
      <w:r w:rsidR="002B6CBB"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>інверторів та акумуляторних батарей</w:t>
      </w:r>
      <w:bookmarkStart w:id="0" w:name="_GoBack"/>
      <w:bookmarkEnd w:id="0"/>
      <w:r w:rsidR="002B6CBB"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для насосів підняття </w:t>
      </w:r>
      <w:r w:rsidR="00B60AD0" w:rsidRPr="00F04F33">
        <w:rPr>
          <w:rFonts w:ascii="Times New Roman" w:eastAsia="Calibri" w:hAnsi="Times New Roman" w:cs="Times New Roman"/>
          <w:sz w:val="26"/>
          <w:szCs w:val="26"/>
          <w:lang w:eastAsia="en-US"/>
        </w:rPr>
        <w:t>тиску</w:t>
      </w:r>
      <w:r w:rsidR="00B60AD0">
        <w:rPr>
          <w:rFonts w:ascii="Times New Roman" w:eastAsia="Calibri" w:hAnsi="Times New Roman" w:cs="Times New Roman"/>
          <w:sz w:val="26"/>
          <w:szCs w:val="26"/>
          <w:lang w:val="ru-RU" w:eastAsia="en-US"/>
        </w:rPr>
        <w:t xml:space="preserve"> </w:t>
      </w:r>
      <w:r w:rsidR="002B6CBB"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>води</w:t>
      </w:r>
      <w:r w:rsidRPr="002B6CB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 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Банківські операції по рахунку підтвердженні відповідними документами, договорами з постачальниками (перелік доданий), платіжними документами, касовими ордерами, актами виконаних робіт. Всі операції занесені в реєстр головної книги на відповідні бухгалтерські рахунки згідно з планом рахунків та узагальненні у річному балансі, що поданий до відповідних контролюючих органів по результату фінансової діяльності за 2025 рік. 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 xml:space="preserve">Перелік господарських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val="ru-RU" w:eastAsia="uk-UA"/>
        </w:rPr>
        <w:t>договор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ів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заключених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 xml:space="preserve"> з постачальниками товарів та послуг, перелік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заключених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 xml:space="preserve"> господарських договорів по наданим послугам на 2025 рік: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1.ТОВ «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Новобокс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» </w:t>
      </w:r>
      <w:proofErr w:type="gram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Дог.№</w:t>
      </w:r>
      <w:proofErr w:type="gram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14/3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від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23.10.2020р. –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Оренда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м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ісць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для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поштаматів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;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2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.ФОП   Іванченко Є.В. Дог. №14/20 від 15.12.2020 – Ремонт ліфта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,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 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встановлення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фотоелементу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;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4.ФОП   Шут І.Б. Дог. №27/05/19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від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27.05.2019 –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Влаштування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системи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автоматичного поливу;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lastRenderedPageBreak/>
        <w:t>5.ТОВ «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Фінансова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>компанія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val="ru-RU" w:eastAsia="uk-UA"/>
        </w:rPr>
        <w:t xml:space="preserve"> МБК»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Дог. №0-140 від 19.02.2015 – Отримання платежів через систему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Portmone</w:t>
      </w:r>
      <w:proofErr w:type="spellEnd"/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6.ТОВ «Альянс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Солюшен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» Дог.№У1403019 від 25.03.2014 – оновлення та доопрацювання програмного забезпечення 1С:Підприємство та Управління ЖКГ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7.ФОП  </w:t>
      </w:r>
      <w:proofErr w:type="spellStart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Балакаєва</w:t>
      </w:r>
      <w:proofErr w:type="spellEnd"/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Л.В. Дог.№42 від 03.08.2020 – Вивіз ТПВ;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8.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ФОП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Спехіна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Т.Я Дог.№05/02Т  від 01.05.2022 - Прибирання місць загального користування (під’їзди)  та прибудинкової території;</w:t>
      </w: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9.ОСББ «Буча Квартал 2»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Дог.№б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/н від 29.07.2017 – Компенсація затрат на обслуговування НКС;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10. ПАТ «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Київобленерго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» Дог.№220061056 від 24.01.2014 (додаткова угода №1 від 01.01.2019 - Освітлення місць загального користування.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ТОВ «Київська обласна ЕК» додаткова угода №1 від 31.07.2019р  до Дог. №420061056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11.ТОВ «ІРПІНСЬКІ ЛОКАЛЬНІ МЕРЕЖІ» Дог.№100320/БК-1 від 10.03.2020 – Надання доступу до інфраструктури об’єктів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12. ФОП Дяченко В.В. Дог. №4-3011Д від 30.11.2018  - Технічне обслуговування внутрішніх будинкових систем; 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13.ФОП Гармаш О.С. Дог.№0109-24Н від 01.09.2024 – Обслуговування КНС;</w:t>
      </w:r>
    </w:p>
    <w:p w:rsidR="00D2169B" w:rsidRPr="00D2169B" w:rsidRDefault="00D2169B" w:rsidP="00D2169B">
      <w:pPr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23.ПАТ «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Отіс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» Дог.№D24</w:t>
      </w:r>
      <w:r w:rsidRPr="00D2169B">
        <w:rPr>
          <w:rFonts w:ascii="Times New Roman" w:eastAsia="Calibri" w:hAnsi="Times New Roman" w:cs="Times New Roman"/>
          <w:sz w:val="26"/>
          <w:szCs w:val="26"/>
          <w:lang w:val="en-US" w:eastAsia="en-US"/>
        </w:rPr>
        <w:t>C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1675 від 09.09.2016 – Обслуговування ліфтів;</w:t>
      </w:r>
    </w:p>
    <w:p w:rsidR="00D2169B" w:rsidRPr="00D2169B" w:rsidRDefault="00D2169B" w:rsidP="00D2169B">
      <w:pPr>
        <w:spacing w:after="200" w:line="240" w:lineRule="atLeast"/>
        <w:ind w:firstLine="56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</w:t>
      </w:r>
    </w:p>
    <w:p w:rsidR="00D2169B" w:rsidRPr="00D2169B" w:rsidRDefault="00D2169B" w:rsidP="00D2169B">
      <w:pPr>
        <w:spacing w:after="200" w:line="240" w:lineRule="atLeast"/>
        <w:ind w:firstLine="567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Розрахунки з співвласниками квартир та нежитлових приміщень ОСББ «Буча-Квартал»:</w:t>
      </w:r>
      <w:r w:rsidRPr="00D2169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  <w:highlight w:val="yellow"/>
          <w:lang w:eastAsia="uk-UA"/>
        </w:rPr>
      </w:pP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Заборгованість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uk-UA"/>
        </w:rPr>
        <w:t>співвласників квартир та нежитлових приміщень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по сплаті внесків та платежів перед ОСББ «Буча-Квартал» станом на </w:t>
      </w:r>
      <w:r w:rsidRPr="00D2169B">
        <w:rPr>
          <w:rFonts w:ascii="Times New Roman" w:eastAsia="Times New Roman" w:hAnsi="Times New Roman" w:cs="Times New Roman"/>
          <w:bCs/>
          <w:i/>
          <w:sz w:val="26"/>
          <w:szCs w:val="26"/>
          <w:u w:val="single"/>
          <w:lang w:eastAsia="uk-UA"/>
        </w:rPr>
        <w:t>01.01.2025 року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склала </w:t>
      </w:r>
      <w:r w:rsidRPr="00D2169B">
        <w:rPr>
          <w:rFonts w:ascii="Times New Roman" w:eastAsia="Times New Roman" w:hAnsi="Times New Roman" w:cs="Times New Roman"/>
          <w:bCs/>
          <w:i/>
          <w:sz w:val="26"/>
          <w:szCs w:val="26"/>
          <w:lang w:eastAsia="uk-UA"/>
        </w:rPr>
        <w:t>–</w:t>
      </w:r>
      <w:r w:rsidRPr="00D2169B">
        <w:rPr>
          <w:rFonts w:ascii="Times New Roman" w:eastAsia="Times New Roman" w:hAnsi="Times New Roman" w:cs="Times New Roman"/>
          <w:bCs/>
          <w:sz w:val="20"/>
          <w:szCs w:val="20"/>
          <w:lang w:eastAsia="uk-UA"/>
        </w:rPr>
        <w:t xml:space="preserve"> </w:t>
      </w:r>
      <w:r w:rsidRPr="00D2169B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446472 грн. 42 коп.</w:t>
      </w:r>
    </w:p>
    <w:p w:rsidR="00D2169B" w:rsidRPr="00D2169B" w:rsidRDefault="00D2169B" w:rsidP="00D2169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  <w:t>Заробітна плата, податки та відрахування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В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ОСББ «Буча-Квартал» діє штатний розпис, затверджений Головою ОСББ </w:t>
      </w:r>
      <w:proofErr w:type="spellStart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Ланским</w:t>
      </w:r>
      <w:proofErr w:type="spellEnd"/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А.Ю., який введений в червні 2025 року відповідно до рішення правління ОСББ, яке підтверджено протоколом засідання. Штатний розписом передбачено функціонування двох штатних одиниць: </w:t>
      </w:r>
      <w:r w:rsidRPr="00D2169B">
        <w:rPr>
          <w:rFonts w:ascii="Times New Roman" w:eastAsia="Calibri" w:hAnsi="Times New Roman" w:cs="Times New Roman"/>
          <w:i/>
          <w:sz w:val="26"/>
          <w:szCs w:val="26"/>
          <w:lang w:eastAsia="en-US"/>
        </w:rPr>
        <w:t>Голова правління й бухгалтер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з посадовими окладами, затвердженими на загальних установчих зборах та зборах співвласників квартир  і підтверджені штатним розписом.</w:t>
      </w:r>
    </w:p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штатний розпис на 20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25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 (з 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01.06.2025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1814"/>
        <w:gridCol w:w="1561"/>
        <w:gridCol w:w="1554"/>
        <w:gridCol w:w="1582"/>
        <w:gridCol w:w="1582"/>
      </w:tblGrid>
      <w:tr w:rsidR="00D2169B" w:rsidRPr="00D2169B" w:rsidTr="006D2415"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Посада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Код класифікатора професій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Кількість штатний одиниць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Посадові оклади, грн..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Надбавки, грн..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Місячний фонд заробітної плати, грн..</w:t>
            </w:r>
          </w:p>
        </w:tc>
      </w:tr>
      <w:tr w:rsidR="00D2169B" w:rsidRPr="00D2169B" w:rsidTr="006D2415"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Голова правління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1210.1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24675,32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24675,32</w:t>
            </w:r>
          </w:p>
        </w:tc>
      </w:tr>
      <w:tr w:rsidR="00D2169B" w:rsidRPr="00D2169B" w:rsidTr="006D2415"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Бухгалтер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3433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20779,22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20779,22</w:t>
            </w:r>
          </w:p>
        </w:tc>
      </w:tr>
      <w:tr w:rsidR="00D2169B" w:rsidRPr="00D2169B" w:rsidTr="006D2415"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Всього:</w:t>
            </w: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42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1643" w:type="dxa"/>
          </w:tcPr>
          <w:p w:rsidR="00D2169B" w:rsidRPr="00D2169B" w:rsidRDefault="00D2169B" w:rsidP="00D21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D2169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45454,54</w:t>
            </w:r>
          </w:p>
        </w:tc>
      </w:tr>
    </w:tbl>
    <w:p w:rsidR="00D2169B" w:rsidRPr="00D2169B" w:rsidRDefault="00D2169B" w:rsidP="00D216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2169B" w:rsidRPr="00D2169B" w:rsidRDefault="00D2169B" w:rsidP="00D2169B">
      <w:pPr>
        <w:spacing w:after="0" w:line="276" w:lineRule="auto"/>
        <w:ind w:left="57"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Було проведено нарахування заробітної плати та утримання обов’язкових утримань у вигляді загальнообов’язкових податків</w:t>
      </w:r>
      <w:r w:rsidRPr="00D2169B">
        <w:rPr>
          <w:rFonts w:ascii="Times New Roman" w:eastAsia="Calibri" w:hAnsi="Times New Roman" w:cs="Times New Roman"/>
          <w:sz w:val="26"/>
          <w:szCs w:val="26"/>
          <w:lang w:val="ru-RU" w:eastAsia="en-US"/>
        </w:rPr>
        <w:t>,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встановлених відповідно до 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чинного законодавства України. Нарахування заробітної плати здійснюється відповідно до наказів по особовому складу та табелів обліку робочого часу. </w:t>
      </w:r>
    </w:p>
    <w:p w:rsidR="00D2169B" w:rsidRPr="00D2169B" w:rsidRDefault="00D2169B" w:rsidP="00D2169B">
      <w:pPr>
        <w:spacing w:after="0" w:line="276" w:lineRule="auto"/>
        <w:ind w:left="57"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2169B" w:rsidRPr="00D2169B" w:rsidRDefault="00D2169B" w:rsidP="00D2169B">
      <w:pPr>
        <w:shd w:val="clear" w:color="auto" w:fill="FFFFFF"/>
        <w:spacing w:after="0" w:line="300" w:lineRule="atLeast"/>
        <w:ind w:left="57"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D2169B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Висновок: </w:t>
      </w:r>
    </w:p>
    <w:p w:rsidR="00D2169B" w:rsidRPr="00D2169B" w:rsidRDefault="00D2169B" w:rsidP="00D2169B">
      <w:pPr>
        <w:spacing w:after="0" w:line="276" w:lineRule="auto"/>
        <w:ind w:left="57"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Нарахування заробітної плати здійснюється відповідно до чинного законодавства, а саме відповідно до Закону України «Про оплату праці» від 24.03.1995р. № 108/95-ВР (із змінами і доповненнями), Постанови КМУ «Про затвердження Порядку обчислення середньої заробітної плати» від 8 лютого 1995 р. № 100 (із змінами), Постанови КМУ «Про затвердження Порядку проведення індексації грошових доходів населення» від 17.07.2003р. №1078 (із змінами) та окремими статтями Кодексу законів про працю</w:t>
      </w:r>
      <w:r w:rsidRPr="00D2169B">
        <w:rPr>
          <w:rFonts w:ascii="Calibri" w:eastAsia="Calibri" w:hAnsi="Calibri" w:cs="Times New Roman"/>
          <w:i/>
          <w:sz w:val="26"/>
          <w:szCs w:val="26"/>
          <w:lang w:eastAsia="en-US"/>
        </w:rPr>
        <w:t>.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Всі нарахування та утримання  із заробітної плати здійсненні в повному обсязі. Утриманні податки вчасно перераховані до фондів. Підставою для нарахування заробітної плати є </w:t>
      </w:r>
      <w:hyperlink r:id="rId4" w:history="1">
        <w:r w:rsidRPr="00D2169B">
          <w:rPr>
            <w:rFonts w:ascii="Times New Roman" w:eastAsia="Calibri" w:hAnsi="Times New Roman" w:cs="Times New Roman"/>
            <w:sz w:val="26"/>
            <w:szCs w:val="26"/>
            <w:bdr w:val="none" w:sz="0" w:space="0" w:color="auto" w:frame="1"/>
            <w:lang w:eastAsia="en-US"/>
          </w:rPr>
          <w:t>табель обліку робочого часу</w:t>
        </w:r>
      </w:hyperlink>
      <w:r w:rsidRPr="00D2169B">
        <w:rPr>
          <w:rFonts w:ascii="Times New Roman" w:eastAsia="Calibri" w:hAnsi="Times New Roman" w:cs="Times New Roman"/>
          <w:sz w:val="26"/>
          <w:szCs w:val="26"/>
          <w:bdr w:val="none" w:sz="0" w:space="0" w:color="auto" w:frame="1"/>
          <w:lang w:eastAsia="en-US"/>
        </w:rPr>
        <w:t xml:space="preserve"> та накази по особовому складу</w:t>
      </w:r>
      <w:r w:rsidRPr="00D2169B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D2169B" w:rsidRPr="00D2169B" w:rsidRDefault="00D2169B" w:rsidP="00D2169B">
      <w:pPr>
        <w:shd w:val="clear" w:color="auto" w:fill="FFFFFF"/>
        <w:spacing w:after="0" w:line="300" w:lineRule="atLeast"/>
        <w:ind w:left="57" w:firstLine="51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u w:val="single"/>
        </w:rPr>
      </w:pP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Терміни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виплати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заробітної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плати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встановлюються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2169B">
        <w:rPr>
          <w:rFonts w:ascii="Times New Roman" w:eastAsia="Times New Roman" w:hAnsi="Times New Roman" w:cs="Times New Roman"/>
          <w:sz w:val="26"/>
          <w:szCs w:val="26"/>
        </w:rPr>
        <w:t xml:space="preserve">Наказом ОСББ «Буча Квартал». Про організацію бухгалтерського обліку та облікову політику. Відповідно до статті 115 Кодексу Законів про працю, заробітна плата в Україні повинна виплачуватися не рідше двох разів на місяць.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Проміжок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між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виплатами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може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перевищувати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16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днів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а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остаточний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розрахунок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місяць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має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відбутися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не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пізніше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ніж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за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сім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днів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після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його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закінчення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D2169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:rsidR="00D2169B" w:rsidRPr="00D2169B" w:rsidRDefault="00D2169B" w:rsidP="00D2169B">
      <w:pPr>
        <w:spacing w:after="0" w:line="276" w:lineRule="auto"/>
        <w:ind w:left="5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2169B" w:rsidRPr="00D2169B" w:rsidRDefault="00D2169B" w:rsidP="00D2169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 w:eastAsia="en-US"/>
        </w:rPr>
      </w:pP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2169B">
        <w:rPr>
          <w:rFonts w:ascii="Times New Roman" w:eastAsia="Times New Roman" w:hAnsi="Times New Roman" w:cs="Times New Roman"/>
          <w:sz w:val="26"/>
          <w:szCs w:val="26"/>
        </w:rPr>
        <w:t xml:space="preserve">Голова правління ОСББ     ____________ </w:t>
      </w:r>
      <w:r w:rsidRPr="00D2169B">
        <w:rPr>
          <w:rFonts w:ascii="Times New Roman" w:eastAsia="Times New Roman" w:hAnsi="Times New Roman" w:cs="Times New Roman"/>
          <w:sz w:val="26"/>
          <w:szCs w:val="26"/>
        </w:rPr>
        <w:tab/>
      </w:r>
      <w:r w:rsidRPr="00D2169B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D2169B">
        <w:rPr>
          <w:rFonts w:ascii="Times New Roman" w:eastAsia="Times New Roman" w:hAnsi="Times New Roman" w:cs="Times New Roman"/>
          <w:sz w:val="26"/>
          <w:szCs w:val="26"/>
        </w:rPr>
        <w:t>Ланской</w:t>
      </w:r>
      <w:proofErr w:type="spellEnd"/>
      <w:r w:rsidRPr="00D2169B">
        <w:rPr>
          <w:rFonts w:ascii="Times New Roman" w:eastAsia="Times New Roman" w:hAnsi="Times New Roman" w:cs="Times New Roman"/>
          <w:sz w:val="26"/>
          <w:szCs w:val="26"/>
        </w:rPr>
        <w:t xml:space="preserve"> А.Ю.</w:t>
      </w: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D2169B">
        <w:rPr>
          <w:rFonts w:ascii="Times New Roman" w:eastAsia="Times New Roman" w:hAnsi="Times New Roman" w:cs="Times New Roman"/>
          <w:sz w:val="26"/>
          <w:szCs w:val="26"/>
        </w:rPr>
        <w:t xml:space="preserve">Бухгалтер ОСББ                  ____________ </w:t>
      </w:r>
      <w:r w:rsidRPr="00D2169B">
        <w:rPr>
          <w:rFonts w:ascii="Times New Roman" w:eastAsia="Times New Roman" w:hAnsi="Times New Roman" w:cs="Times New Roman"/>
          <w:sz w:val="26"/>
          <w:szCs w:val="26"/>
        </w:rPr>
        <w:tab/>
      </w:r>
      <w:r w:rsidRPr="00D2169B">
        <w:rPr>
          <w:rFonts w:ascii="Times New Roman" w:eastAsia="Times New Roman" w:hAnsi="Times New Roman" w:cs="Times New Roman"/>
          <w:sz w:val="26"/>
          <w:szCs w:val="26"/>
        </w:rPr>
        <w:tab/>
        <w:t>Захарченко Ю.В.</w:t>
      </w:r>
    </w:p>
    <w:p w:rsidR="00D2169B" w:rsidRPr="00D2169B" w:rsidRDefault="00D2169B" w:rsidP="00D2169B">
      <w:pPr>
        <w:shd w:val="clear" w:color="auto" w:fill="FFFFFF"/>
        <w:tabs>
          <w:tab w:val="left" w:pos="4480"/>
        </w:tabs>
        <w:spacing w:after="0" w:line="300" w:lineRule="atLeast"/>
        <w:ind w:firstLine="8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ru-RU"/>
        </w:rPr>
        <w:sectPr w:rsidR="00D2169B" w:rsidRPr="00D2169B" w:rsidSect="00D2169B">
          <w:pgSz w:w="11906" w:h="16838"/>
          <w:pgMar w:top="850" w:right="686" w:bottom="1560" w:left="1540" w:header="708" w:footer="708" w:gutter="0"/>
          <w:cols w:space="708"/>
          <w:docGrid w:linePitch="360"/>
        </w:sectPr>
      </w:pPr>
    </w:p>
    <w:p w:rsidR="00DE0F54" w:rsidRPr="00D2169B" w:rsidRDefault="00DE0F54">
      <w:pPr>
        <w:rPr>
          <w:lang w:val="ru-RU"/>
        </w:rPr>
      </w:pPr>
    </w:p>
    <w:sectPr w:rsidR="00DE0F54" w:rsidRPr="00D2169B" w:rsidSect="00D2169B"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F0"/>
    <w:rsid w:val="002B6CBB"/>
    <w:rsid w:val="00B60AD0"/>
    <w:rsid w:val="00BA4E00"/>
    <w:rsid w:val="00BD02F0"/>
    <w:rsid w:val="00D2169B"/>
    <w:rsid w:val="00DE0F54"/>
    <w:rsid w:val="00F0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E9F8"/>
  <w15:chartTrackingRefBased/>
  <w15:docId w15:val="{A1A23153-1ACC-493E-86FA-454F11EF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6C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yhgalter.com/ru/tabel-obliku-robochogo-chasu-priklad-zapovnenn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1712</Words>
  <Characters>9760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cp:lastPrinted>2026-09-19T18:57:00Z</cp:lastPrinted>
  <dcterms:created xsi:type="dcterms:W3CDTF">2026-08-28T17:50:00Z</dcterms:created>
  <dcterms:modified xsi:type="dcterms:W3CDTF">2026-09-20T10:23:00Z</dcterms:modified>
</cp:coreProperties>
</file>